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749C" w14:textId="5FC6207C" w:rsidR="00DA11F5" w:rsidRDefault="00DA11F5" w:rsidP="002E73C0">
      <w:pPr>
        <w:jc w:val="center"/>
        <w:rPr>
          <w:rFonts w:ascii="Arial" w:eastAsia="Times New Roman" w:hAnsi="Arial" w:cs="Arial"/>
          <w:b/>
          <w:color w:val="3F3E3E"/>
          <w:sz w:val="24"/>
          <w:szCs w:val="24"/>
          <w:u w:val="single"/>
          <w:lang w:val="en" w:eastAsia="en-CA"/>
        </w:rPr>
      </w:pPr>
      <w:r w:rsidRPr="002E73C0">
        <w:rPr>
          <w:rFonts w:ascii="Arial" w:eastAsia="Times New Roman" w:hAnsi="Arial" w:cs="Arial"/>
          <w:b/>
          <w:color w:val="3F3E3E"/>
          <w:sz w:val="24"/>
          <w:szCs w:val="24"/>
          <w:u w:val="single"/>
          <w:lang w:val="en" w:eastAsia="en-CA"/>
        </w:rPr>
        <w:t>Advisor to Plan sponsor email</w:t>
      </w:r>
    </w:p>
    <w:p w14:paraId="33444C41" w14:textId="0EFD6A21" w:rsidR="00BB0CCF" w:rsidRPr="002E73C0" w:rsidRDefault="002E73C0">
      <w:pPr>
        <w:rPr>
          <w:rFonts w:ascii="Arial" w:eastAsia="Times New Roman" w:hAnsi="Arial" w:cs="Arial"/>
          <w:bCs/>
          <w:color w:val="3F3E3E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bCs/>
          <w:color w:val="3F3E3E"/>
          <w:sz w:val="24"/>
          <w:szCs w:val="24"/>
          <w:lang w:val="en" w:eastAsia="en-CA"/>
        </w:rPr>
        <w:t xml:space="preserve">Subject: </w:t>
      </w:r>
      <w:r w:rsidR="00BB0CCF" w:rsidRPr="002E73C0">
        <w:rPr>
          <w:rFonts w:ascii="Arial" w:eastAsia="Times New Roman" w:hAnsi="Arial" w:cs="Arial"/>
          <w:bCs/>
          <w:color w:val="3F3E3E"/>
          <w:sz w:val="24"/>
          <w:szCs w:val="24"/>
          <w:lang w:val="en" w:eastAsia="en-CA"/>
        </w:rPr>
        <w:t>Benefits for Small Business</w:t>
      </w:r>
      <w:r>
        <w:rPr>
          <w:rFonts w:ascii="Arial" w:eastAsia="Times New Roman" w:hAnsi="Arial" w:cs="Arial"/>
          <w:bCs/>
          <w:color w:val="3F3E3E"/>
          <w:sz w:val="24"/>
          <w:szCs w:val="24"/>
          <w:lang w:val="en" w:eastAsia="en-CA"/>
        </w:rPr>
        <w:t xml:space="preserve"> - </w:t>
      </w:r>
      <w:r w:rsidR="00BB0CCF" w:rsidRPr="002E73C0">
        <w:rPr>
          <w:rFonts w:ascii="Arial" w:eastAsia="Times New Roman" w:hAnsi="Arial" w:cs="Arial"/>
          <w:bCs/>
          <w:color w:val="3F3E3E"/>
          <w:sz w:val="24"/>
          <w:szCs w:val="24"/>
          <w:lang w:val="en" w:eastAsia="en-CA"/>
        </w:rPr>
        <w:t>Enabling healthy and successful workplaces</w:t>
      </w:r>
    </w:p>
    <w:tbl>
      <w:tblPr>
        <w:tblW w:w="5178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3"/>
      </w:tblGrid>
      <w:tr w:rsidR="004A1F13" w:rsidRPr="00144FAD" w14:paraId="357A73EC" w14:textId="77777777" w:rsidTr="002E73C0">
        <w:trPr>
          <w:trHeight w:val="3184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360" w:type="dxa"/>
              <w:left w:w="510" w:type="dxa"/>
              <w:bottom w:w="525" w:type="dxa"/>
              <w:right w:w="510" w:type="dxa"/>
            </w:tcMar>
            <w:vAlign w:val="center"/>
          </w:tcPr>
          <w:p w14:paraId="4402D93B" w14:textId="77777777" w:rsidR="002E73C0" w:rsidRPr="00144FAD" w:rsidRDefault="002E73C0" w:rsidP="002E73C0">
            <w:pPr>
              <w:spacing w:after="330" w:line="420" w:lineRule="atLeast"/>
              <w:ind w:left="-226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bookmarkStart w:id="0" w:name="_Hlk43299680"/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Hello (name)</w:t>
            </w:r>
          </w:p>
          <w:p w14:paraId="3C5482E7" w14:textId="2C236256" w:rsidR="002E73C0" w:rsidRPr="00144FAD" w:rsidRDefault="00BF745D" w:rsidP="0035101F">
            <w:pPr>
              <w:spacing w:after="0" w:line="360" w:lineRule="auto"/>
              <w:ind w:left="-227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Your business is vital.  </w:t>
            </w:r>
            <w:r w:rsidR="002E73C0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We understand how important </w:t>
            </w:r>
            <w:r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it is to maintain</w:t>
            </w:r>
            <w:r w:rsidR="002E73C0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the physical and mental health of you and your employees</w:t>
            </w:r>
            <w:r w:rsidR="00950585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</w:t>
            </w:r>
            <w:r w:rsidR="00820ED2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in</w:t>
            </w:r>
            <w:r w:rsidR="00820ED2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kee</w:t>
            </w:r>
            <w:r w:rsidR="00820ED2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ping</w:t>
            </w:r>
            <w:r w:rsidR="002E73C0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</w:t>
            </w:r>
            <w:r w:rsidR="00950585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your</w:t>
            </w:r>
            <w:r w:rsidR="0035101F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</w:t>
            </w:r>
            <w:r w:rsidR="002E73C0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business </w:t>
            </w:r>
            <w:r w:rsidR="00950585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on track</w:t>
            </w:r>
            <w:r w:rsidR="002E73C0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. </w:t>
            </w:r>
            <w:r w:rsidR="00950585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E</w:t>
            </w:r>
            <w:r w:rsidR="002E73C0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quipping your employees with a </w:t>
            </w:r>
            <w:r w:rsidR="00820ED2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reliab</w:t>
            </w:r>
            <w:r w:rsidR="002E73C0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le benefits </w:t>
            </w:r>
            <w:r w:rsidR="00820ED2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plan will</w:t>
            </w:r>
            <w:r w:rsidR="002E73C0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not only help to attract and retain the right talent but </w:t>
            </w:r>
            <w:r w:rsidR="0035101F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help them to be </w:t>
            </w:r>
            <w:r w:rsidR="002E73C0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healthy and productive at work.</w:t>
            </w:r>
          </w:p>
          <w:p w14:paraId="16A19C43" w14:textId="77777777" w:rsidR="002E73C0" w:rsidRPr="00144FAD" w:rsidRDefault="002E73C0" w:rsidP="002E73C0">
            <w:pPr>
              <w:spacing w:after="120" w:line="240" w:lineRule="auto"/>
              <w:ind w:left="-227"/>
              <w:rPr>
                <w:rFonts w:eastAsia="Times New Roman" w:cstheme="minorHAnsi"/>
                <w:bCs/>
                <w:color w:val="3F3E3E"/>
                <w:sz w:val="18"/>
                <w:szCs w:val="18"/>
                <w:lang w:val="en" w:eastAsia="en-CA"/>
              </w:rPr>
            </w:pPr>
          </w:p>
          <w:p w14:paraId="6C0271D7" w14:textId="3310E0FC" w:rsidR="002E73C0" w:rsidRPr="00144FAD" w:rsidRDefault="002E73C0" w:rsidP="0035101F">
            <w:pPr>
              <w:spacing w:after="0" w:line="360" w:lineRule="auto"/>
              <w:ind w:left="-227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In order to meet their key life and health insurance needs with exemplary service and competitive rates, </w:t>
            </w:r>
            <w:proofErr w:type="spellStart"/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Medavie</w:t>
            </w:r>
            <w:proofErr w:type="spellEnd"/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Blue </w:t>
            </w:r>
            <w:r w:rsidR="00820ED2"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Cross presents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‘Benefits for Small Business’ - a benefits plan designed especially for your business type and size. </w:t>
            </w:r>
            <w:bookmarkStart w:id="1" w:name="_Hlk42120698"/>
          </w:p>
          <w:p w14:paraId="6E138C9C" w14:textId="77777777" w:rsidR="0035101F" w:rsidRPr="00144FAD" w:rsidRDefault="0035101F" w:rsidP="0035101F">
            <w:pPr>
              <w:spacing w:after="0" w:line="360" w:lineRule="auto"/>
              <w:ind w:left="-227"/>
              <w:rPr>
                <w:rFonts w:eastAsia="Times New Roman" w:cstheme="minorHAnsi"/>
                <w:bCs/>
                <w:color w:val="3F3E3E"/>
                <w:sz w:val="18"/>
                <w:szCs w:val="18"/>
                <w:lang w:val="en" w:eastAsia="en-CA"/>
              </w:rPr>
            </w:pPr>
          </w:p>
          <w:p w14:paraId="19D1E92C" w14:textId="60E65DD6" w:rsidR="002E73C0" w:rsidRPr="00144FAD" w:rsidRDefault="002E73C0" w:rsidP="0035101F">
            <w:pPr>
              <w:spacing w:after="0" w:line="360" w:lineRule="auto"/>
              <w:ind w:left="-227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Here’s a quick look at how you and your employees can benefit from it:</w:t>
            </w:r>
          </w:p>
          <w:bookmarkEnd w:id="1"/>
          <w:p w14:paraId="2E09E96F" w14:textId="77777777" w:rsidR="00A4276E" w:rsidRPr="00A4276E" w:rsidRDefault="00A4276E" w:rsidP="00A4276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1" w:hanging="34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" w:eastAsia="en-CA"/>
              </w:rPr>
            </w:pPr>
            <w:r w:rsidRPr="00A4276E">
              <w:rPr>
                <w:rFonts w:eastAsia="Times New Roman" w:cstheme="minorHAnsi"/>
                <w:bCs/>
                <w:color w:val="00B0F0"/>
                <w:sz w:val="24"/>
                <w:szCs w:val="24"/>
                <w:lang w:val="en" w:eastAsia="en-CA"/>
              </w:rPr>
              <w:t xml:space="preserve">Affordable </w:t>
            </w:r>
            <w:r w:rsidRPr="00A4276E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suite of important benefits that provides a wide range of coverage, including prescription drugs, extended health care, dental care, travel, life and disability benefits.</w:t>
            </w:r>
          </w:p>
          <w:p w14:paraId="569DF2CF" w14:textId="78FDB52B" w:rsidR="002E73C0" w:rsidRPr="00144FAD" w:rsidRDefault="002E73C0" w:rsidP="00A4276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1" w:hanging="341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 w:rsidRPr="00144FAD">
              <w:rPr>
                <w:rFonts w:eastAsia="Times New Roman" w:cstheme="minorHAnsi"/>
                <w:bCs/>
                <w:color w:val="00B0F0"/>
                <w:sz w:val="24"/>
                <w:szCs w:val="24"/>
                <w:lang w:val="en" w:eastAsia="en-CA"/>
              </w:rPr>
              <w:t xml:space="preserve">No deductibles 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or </w:t>
            </w:r>
            <w:r w:rsidRPr="00144FAD">
              <w:rPr>
                <w:rFonts w:eastAsia="Times New Roman" w:cstheme="minorHAnsi"/>
                <w:bCs/>
                <w:color w:val="00B0F0"/>
                <w:sz w:val="24"/>
                <w:szCs w:val="24"/>
                <w:lang w:val="en" w:eastAsia="en-CA"/>
              </w:rPr>
              <w:t xml:space="preserve">medical questionnaires 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required for core benefits</w:t>
            </w:r>
            <w:r w:rsidR="00A4276E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.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</w:t>
            </w:r>
          </w:p>
          <w:p w14:paraId="0478C0BA" w14:textId="381C3752" w:rsidR="002E73C0" w:rsidRPr="00144FAD" w:rsidRDefault="002E73C0" w:rsidP="00A4276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1" w:hanging="341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 w:rsidRPr="00144FAD">
              <w:rPr>
                <w:rFonts w:eastAsia="Times New Roman" w:cstheme="minorHAnsi"/>
                <w:bCs/>
                <w:color w:val="00B0F0"/>
                <w:sz w:val="24"/>
                <w:szCs w:val="24"/>
                <w:lang w:val="en" w:eastAsia="en-CA"/>
              </w:rPr>
              <w:t>Customizable plan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that offers in-person and virtual options for efficient treatment and convenient access</w:t>
            </w:r>
            <w:r w:rsidR="00A4276E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.</w:t>
            </w:r>
          </w:p>
          <w:p w14:paraId="278644A9" w14:textId="2D8312A4" w:rsidR="002E73C0" w:rsidRPr="00144FAD" w:rsidRDefault="002E73C0" w:rsidP="00A4276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1" w:hanging="341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 w:rsidRPr="00144FAD">
              <w:rPr>
                <w:rFonts w:eastAsia="Times New Roman" w:cstheme="minorHAnsi"/>
                <w:bCs/>
                <w:color w:val="00B0F0"/>
                <w:sz w:val="24"/>
                <w:szCs w:val="24"/>
                <w:lang w:val="en" w:eastAsia="en-CA"/>
              </w:rPr>
              <w:t xml:space="preserve">Reliable premium rates 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based on pooled pricing where businesses in the pool </w:t>
            </w:r>
            <w:r w:rsidR="000A01F6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share similar levels of risk, allowing for more affordable pricing</w:t>
            </w:r>
            <w:r w:rsidR="00A4276E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.</w:t>
            </w:r>
          </w:p>
          <w:p w14:paraId="6504DDDC" w14:textId="186EECDB" w:rsidR="002E73C0" w:rsidRPr="00144FAD" w:rsidRDefault="002E73C0" w:rsidP="00A4276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1" w:hanging="341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Added </w:t>
            </w:r>
            <w:r w:rsidRPr="00144FAD">
              <w:rPr>
                <w:rFonts w:eastAsia="Times New Roman" w:cstheme="minorHAnsi"/>
                <w:bCs/>
                <w:color w:val="00B0F0"/>
                <w:sz w:val="24"/>
                <w:szCs w:val="24"/>
                <w:lang w:val="en" w:eastAsia="en-CA"/>
              </w:rPr>
              <w:t>flexibility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with a health spending account and employee-paid optional top-up coverage</w:t>
            </w:r>
            <w:r w:rsidR="00A4276E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.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</w:t>
            </w:r>
            <w:bookmarkStart w:id="2" w:name="_GoBack"/>
            <w:bookmarkEnd w:id="2"/>
          </w:p>
          <w:p w14:paraId="06C0324B" w14:textId="21CC7C1A" w:rsidR="002E73C0" w:rsidRPr="00144FAD" w:rsidRDefault="002E73C0" w:rsidP="00A4276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1" w:hanging="341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Easy </w:t>
            </w:r>
            <w:r w:rsidRPr="00144FAD">
              <w:rPr>
                <w:rFonts w:eastAsia="Times New Roman" w:cstheme="minorHAnsi"/>
                <w:bCs/>
                <w:color w:val="00B0F0"/>
                <w:sz w:val="24"/>
                <w:szCs w:val="24"/>
                <w:lang w:val="en" w:eastAsia="en-CA"/>
              </w:rPr>
              <w:t xml:space="preserve">activation 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and </w:t>
            </w:r>
            <w:r w:rsidRPr="00144FAD">
              <w:rPr>
                <w:rFonts w:eastAsia="Times New Roman" w:cstheme="minorHAnsi"/>
                <w:bCs/>
                <w:color w:val="00B0F0"/>
                <w:sz w:val="24"/>
                <w:szCs w:val="24"/>
                <w:lang w:val="en" w:eastAsia="en-CA"/>
              </w:rPr>
              <w:t xml:space="preserve">simple administration 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that allows you to focus on your business</w:t>
            </w:r>
            <w:r w:rsidR="00A4276E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.</w:t>
            </w:r>
          </w:p>
          <w:p w14:paraId="42E5BD3A" w14:textId="3CC1BB07" w:rsidR="004A1F13" w:rsidRPr="00144FAD" w:rsidRDefault="002E73C0" w:rsidP="00A4276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1" w:right="-34" w:hanging="341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Plan options that </w:t>
            </w:r>
            <w:r w:rsidRPr="00144FAD">
              <w:rPr>
                <w:rFonts w:eastAsia="Times New Roman" w:cstheme="minorHAnsi"/>
                <w:bCs/>
                <w:color w:val="00B0F0"/>
                <w:sz w:val="24"/>
                <w:szCs w:val="24"/>
                <w:lang w:val="en" w:eastAsia="en-CA"/>
              </w:rPr>
              <w:t>grow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with you</w:t>
            </w:r>
            <w:r w:rsidR="00A4276E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.</w:t>
            </w:r>
          </w:p>
          <w:p w14:paraId="4B82F6A4" w14:textId="765C40E3" w:rsidR="004A1F13" w:rsidRPr="00144FAD" w:rsidRDefault="002E73C0" w:rsidP="002E73C0">
            <w:pPr>
              <w:spacing w:after="120" w:line="420" w:lineRule="atLeast"/>
              <w:ind w:left="-371" w:hanging="142"/>
              <w:jc w:val="center"/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</w:pP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Contact me to </w:t>
            </w:r>
            <w:r w:rsidR="000A01F6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>discuss</w:t>
            </w:r>
            <w:r w:rsidRPr="00144FAD">
              <w:rPr>
                <w:rFonts w:eastAsia="Times New Roman" w:cstheme="minorHAnsi"/>
                <w:bCs/>
                <w:color w:val="3F3E3E"/>
                <w:sz w:val="24"/>
                <w:szCs w:val="24"/>
                <w:lang w:val="en" w:eastAsia="en-CA"/>
              </w:rPr>
              <w:t xml:space="preserve"> how this unique plan can support your objectives and budget.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3"/>
            </w:tblGrid>
            <w:tr w:rsidR="004A1F13" w:rsidRPr="00144FAD" w14:paraId="4F351F7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3"/>
                  </w:tblGrid>
                  <w:tr w:rsidR="004A1F13" w:rsidRPr="00144FAD" w14:paraId="2E4798D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EF5974" w14:textId="77777777" w:rsidR="004A1F13" w:rsidRPr="00144FAD" w:rsidRDefault="004A1F13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BBF9148" w14:textId="77777777" w:rsidR="004A1F13" w:rsidRPr="00144FAD" w:rsidRDefault="004A1F13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2885F0FA" w14:textId="1146D0E1" w:rsidR="004A1F13" w:rsidRPr="00144FAD" w:rsidRDefault="004A1F13">
            <w:pPr>
              <w:shd w:val="clear" w:color="auto" w:fill="FFFFFF" w:themeFill="background1"/>
              <w:spacing w:after="120" w:line="240" w:lineRule="auto"/>
              <w:ind w:left="-227"/>
              <w:jc w:val="center"/>
              <w:rPr>
                <w:rFonts w:eastAsia="Times New Roman" w:cstheme="minorHAnsi"/>
                <w:bCs/>
                <w:color w:val="00B0F0"/>
                <w:sz w:val="24"/>
                <w:szCs w:val="24"/>
                <w:lang w:eastAsia="en-CA"/>
              </w:rPr>
            </w:pPr>
          </w:p>
        </w:tc>
      </w:tr>
      <w:bookmarkEnd w:id="0"/>
    </w:tbl>
    <w:p w14:paraId="2CFD2060" w14:textId="77777777" w:rsidR="00BB0CCF" w:rsidRDefault="00BB0CCF"/>
    <w:sectPr w:rsidR="00BB0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E2D"/>
    <w:multiLevelType w:val="hybridMultilevel"/>
    <w:tmpl w:val="2A7EA58C"/>
    <w:lvl w:ilvl="0" w:tplc="6DDAC07C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2E1A4650"/>
    <w:multiLevelType w:val="hybridMultilevel"/>
    <w:tmpl w:val="65E80E60"/>
    <w:lvl w:ilvl="0" w:tplc="0C8E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4C"/>
    <w:rsid w:val="000A01F6"/>
    <w:rsid w:val="00144FAD"/>
    <w:rsid w:val="001B183E"/>
    <w:rsid w:val="001D2831"/>
    <w:rsid w:val="001D5831"/>
    <w:rsid w:val="00216B1B"/>
    <w:rsid w:val="002C21A5"/>
    <w:rsid w:val="002E73C0"/>
    <w:rsid w:val="0035101F"/>
    <w:rsid w:val="00375C96"/>
    <w:rsid w:val="00494204"/>
    <w:rsid w:val="004A1F13"/>
    <w:rsid w:val="0058625A"/>
    <w:rsid w:val="00631B19"/>
    <w:rsid w:val="00687701"/>
    <w:rsid w:val="006F6EEC"/>
    <w:rsid w:val="0072494C"/>
    <w:rsid w:val="0074679D"/>
    <w:rsid w:val="00756660"/>
    <w:rsid w:val="007E58EB"/>
    <w:rsid w:val="00806F02"/>
    <w:rsid w:val="0080784A"/>
    <w:rsid w:val="00820ED2"/>
    <w:rsid w:val="008C203F"/>
    <w:rsid w:val="00915195"/>
    <w:rsid w:val="00950585"/>
    <w:rsid w:val="009566EB"/>
    <w:rsid w:val="009A2613"/>
    <w:rsid w:val="00A4276E"/>
    <w:rsid w:val="00B41752"/>
    <w:rsid w:val="00BB0CCF"/>
    <w:rsid w:val="00BD43C5"/>
    <w:rsid w:val="00BF745D"/>
    <w:rsid w:val="00CE347A"/>
    <w:rsid w:val="00D1365C"/>
    <w:rsid w:val="00D6008C"/>
    <w:rsid w:val="00DA11E4"/>
    <w:rsid w:val="00DA11F5"/>
    <w:rsid w:val="00DE676F"/>
    <w:rsid w:val="00ED7907"/>
    <w:rsid w:val="00F632BD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E9F9"/>
  <w15:chartTrackingRefBased/>
  <w15:docId w15:val="{A56D9D76-F103-493B-950A-C1E5E776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83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1F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D'Souza, Risha</dc:creator>
  <cp:keywords/>
  <dc:description/>
  <cp:lastModifiedBy>D'Souza, Risha</cp:lastModifiedBy>
  <cp:revision>2</cp:revision>
  <dcterms:created xsi:type="dcterms:W3CDTF">2020-06-26T12:28:00Z</dcterms:created>
  <dcterms:modified xsi:type="dcterms:W3CDTF">2020-06-26T12:28:00Z</dcterms:modified>
</cp:coreProperties>
</file>